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pPr>
      <w:r>
        <w:rPr>
          <w:b/>
          <w:color w:val="0A2547"/>
          <w:sz w:val="22"/>
        </w:rPr>
        <w:t>Small Business Research Institute</w:t>
      </w:r>
    </w:p>
    <w:p>
      <w:pPr>
        <w:pStyle w:val="Title"/>
      </w:pPr>
      <w:r>
        <w:t>Monthly business review</w:t>
      </w:r>
    </w:p>
    <w:p>
      <w:r>
        <w:t>Use a recurring meeting to explain results, record decisions and assign a few actions before the next review.</w:t>
      </w:r>
    </w:p>
    <w:p>
      <w:r>
        <w:rPr>
          <w:color w:val="4D606D"/>
          <w:sz w:val="18"/>
        </w:rPr>
        <w:t>Version 1.0 | 6 November 2026</w:t>
      </w:r>
    </w:p>
    <w:p>
      <w:pPr>
        <w:pStyle w:val="Heading2"/>
      </w:pPr>
      <w:r>
        <w:t>Prepare and discuss</w:t>
      </w:r>
    </w:p>
    <w:p>
      <w:r>
        <w:t>Choose the review period and bring the current cash forecast, financial reports, customer commitments and operating records. Agree which measures help explain this business. Separate facts from estimates and record the source and date for each figure.</w:t>
      </w:r>
    </w:p>
    <w:p>
      <w:r>
        <w:t>Suggested 45-minute agenda: review previous actions for 5 minutes, examine cash and results for 15 minutes, discuss operating exceptions for 15 minutes, then agree decisions and actions for 10 minutes.</w:t>
      </w:r>
    </w:p>
    <w:p>
      <w:pPr>
        <w:pStyle w:val="Heading2"/>
      </w:pPr>
      <w:r>
        <w:t>Fictional completed example</w:t>
      </w:r>
    </w:p>
    <w:p>
      <w:pPr>
        <w:spacing w:after="180"/>
      </w:pPr>
      <w:r>
        <w:rPr>
          <w:b/>
        </w:rPr>
        <w:t xml:space="preserve">Review period and participants. </w:t>
      </w:r>
      <w:r>
        <w:t>Fictional example: Riverton Repair, October 2026. Owner, operations lead and bookkeeper.</w:t>
      </w:r>
    </w:p>
    <w:p>
      <w:pPr>
        <w:spacing w:after="180"/>
      </w:pPr>
      <w:r>
        <w:rPr>
          <w:b/>
        </w:rPr>
        <w:t xml:space="preserve">Dashboard and sources. </w:t>
      </w:r>
      <w:r>
        <w:t>Collections were $42,000 against a $48,000 plan. Source: receipts ledger, October 31. Two large invoices remain unpaid; collection timing needs checking.</w:t>
      </w:r>
    </w:p>
    <w:p>
      <w:pPr>
        <w:spacing w:after="180"/>
      </w:pPr>
      <w:r>
        <w:rPr>
          <w:b/>
        </w:rPr>
        <w:t xml:space="preserve">Operating questions. </w:t>
      </w:r>
      <w:r>
        <w:t>Three jobs were completed late. The job log records parts delays, but no one has yet checked whether scheduling also contributed.</w:t>
      </w:r>
    </w:p>
    <w:p>
      <w:pPr>
        <w:spacing w:after="180"/>
      </w:pPr>
      <w:r>
        <w:rPr>
          <w:b/>
        </w:rPr>
        <w:t xml:space="preserve">Decisions and open questions. </w:t>
      </w:r>
      <w:r>
        <w:t>Decision: operations lead will review the parts-order step. Open question: which delays were avoidable, and what evidence supports that view?</w:t>
      </w:r>
    </w:p>
    <w:p>
      <w:pPr>
        <w:spacing w:after="180"/>
      </w:pPr>
      <w:r>
        <w:rPr>
          <w:b/>
        </w:rPr>
        <w:t xml:space="preserve">Next actions and review. </w:t>
      </w:r>
      <w:r>
        <w:t>Bookkeeper checks expected receipt dates; operations lead reviews three delayed jobs. Owner reviews findings November 13.</w:t>
      </w:r>
    </w:p>
    <w:p>
      <w:r>
        <w:br w:type="page"/>
      </w:r>
    </w:p>
    <w:p>
      <w:pPr>
        <w:pStyle w:val="Heading1"/>
      </w:pPr>
      <w:r>
        <w:t>Your monthly review</w:t>
      </w:r>
    </w:p>
    <w:p>
      <w:pPr>
        <w:spacing w:after="80"/>
      </w:pPr>
      <w:r>
        <w:rPr>
          <w:b/>
        </w:rPr>
        <w:t xml:space="preserve">Business alias  </w:t>
      </w:r>
      <w:r>
        <w:t>________________________________________________</w:t>
      </w:r>
    </w:p>
    <w:p>
      <w:pPr>
        <w:spacing w:after="80"/>
      </w:pPr>
      <w:r>
        <w:rPr>
          <w:b/>
        </w:rPr>
        <w:t xml:space="preserve">Review period and meeting date  </w:t>
      </w:r>
      <w:r>
        <w:t>________________________________</w:t>
      </w:r>
    </w:p>
    <w:p>
      <w:pPr>
        <w:spacing w:after="80"/>
      </w:pPr>
      <w:r>
        <w:rPr>
          <w:b/>
        </w:rPr>
        <w:t xml:space="preserve">Participants and roles  </w:t>
      </w:r>
      <w:r>
        <w:t>________________________________________</w:t>
      </w:r>
    </w:p>
    <w:p>
      <w:pPr>
        <w:pStyle w:val="Heading2"/>
      </w:pPr>
      <w:r>
        <w:t>Results to explain</w:t>
      </w:r>
    </w:p>
    <w:p>
      <w:r>
        <w:t>Select a few financial and operating measures. State units and periods. A plan is an assumption to revisit, not a standard every business must meet.</w:t>
      </w:r>
    </w:p>
    <w:tbl>
      <w:tblPr>
        <w:tblW w:type="auto" w:w="0"/>
        <w:jc w:val="center"/>
        <w:tblLayout w:type="fixed"/>
        <w:tblLook w:firstColumn="1" w:firstRow="1" w:lastColumn="0" w:lastRow="0" w:noHBand="0" w:noVBand="1" w:val="04A0"/>
      </w:tblPr>
      <w:tblGrid>
        <w:gridCol w:w="2952"/>
        <w:gridCol w:w="1224"/>
        <w:gridCol w:w="1224"/>
        <w:gridCol w:w="4493"/>
      </w:tblGrid>
      <w:tr>
        <w:trPr>
          <w:tblHeader/>
        </w:trPr>
        <w:tc>
          <w:tcPr>
            <w:tcW w:type="dxa" w:w="2952"/>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0A2547"/>
          </w:tcPr>
          <w:p>
            <w:pPr>
              <w:spacing w:after="0" w:line="269" w:lineRule="auto"/>
            </w:pPr>
            <w:r>
              <w:rPr>
                <w:b/>
                <w:color w:val="FFFFFF"/>
                <w:sz w:val="20"/>
              </w:rPr>
              <w:t>Measure and units</w:t>
            </w:r>
          </w:p>
        </w:tc>
        <w:tc>
          <w:tcPr>
            <w:tcW w:type="dxa" w:w="1224"/>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0A2547"/>
          </w:tcPr>
          <w:p>
            <w:pPr>
              <w:spacing w:after="0" w:line="269" w:lineRule="auto"/>
            </w:pPr>
            <w:r>
              <w:rPr>
                <w:b/>
                <w:color w:val="FFFFFF"/>
                <w:sz w:val="20"/>
              </w:rPr>
              <w:t>Actual</w:t>
            </w:r>
          </w:p>
        </w:tc>
        <w:tc>
          <w:tcPr>
            <w:tcW w:type="dxa" w:w="1224"/>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0A2547"/>
          </w:tcPr>
          <w:p>
            <w:pPr>
              <w:spacing w:after="0" w:line="269" w:lineRule="auto"/>
            </w:pPr>
            <w:r>
              <w:rPr>
                <w:b/>
                <w:color w:val="FFFFFF"/>
                <w:sz w:val="20"/>
              </w:rPr>
              <w:t>Plan</w:t>
            </w:r>
          </w:p>
        </w:tc>
        <w:tc>
          <w:tcPr>
            <w:tcW w:type="dxa" w:w="4493"/>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0A2547"/>
          </w:tcPr>
          <w:p>
            <w:pPr>
              <w:spacing w:after="0" w:line="269" w:lineRule="auto"/>
            </w:pPr>
            <w:r>
              <w:rPr>
                <w:b/>
                <w:color w:val="FFFFFF"/>
                <w:sz w:val="20"/>
              </w:rPr>
              <w:t>Source date and question</w:t>
            </w:r>
          </w:p>
        </w:tc>
      </w:tr>
      <w:tr>
        <w:tc>
          <w:tcPr>
            <w:tcW w:type="dxa" w:w="2952"/>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69" w:lineRule="auto"/>
            </w:pPr>
            <w:r>
              <w:rPr>
                <w:b w:val="0"/>
                <w:color w:val="000000"/>
                <w:sz w:val="20"/>
              </w:rPr>
              <w:br/>
              <w:br/>
            </w:r>
          </w:p>
        </w:tc>
        <w:tc>
          <w:tcPr>
            <w:tcW w:type="dxa" w:w="1224"/>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69" w:lineRule="auto"/>
            </w:pPr>
            <w:r>
              <w:rPr>
                <w:b w:val="0"/>
                <w:color w:val="000000"/>
                <w:sz w:val="20"/>
              </w:rPr>
            </w:r>
          </w:p>
        </w:tc>
        <w:tc>
          <w:tcPr>
            <w:tcW w:type="dxa" w:w="1224"/>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69" w:lineRule="auto"/>
            </w:pPr>
            <w:r>
              <w:rPr>
                <w:b w:val="0"/>
                <w:color w:val="000000"/>
                <w:sz w:val="20"/>
              </w:rPr>
            </w:r>
          </w:p>
        </w:tc>
        <w:tc>
          <w:tcPr>
            <w:tcW w:type="dxa" w:w="4493"/>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69" w:lineRule="auto"/>
            </w:pPr>
            <w:r>
              <w:rPr>
                <w:b w:val="0"/>
                <w:color w:val="000000"/>
                <w:sz w:val="20"/>
              </w:rPr>
            </w:r>
          </w:p>
        </w:tc>
      </w:tr>
      <w:tr>
        <w:tc>
          <w:tcPr>
            <w:tcW w:type="dxa" w:w="2952"/>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1F5F9"/>
          </w:tcPr>
          <w:p>
            <w:pPr>
              <w:spacing w:after="0" w:line="269" w:lineRule="auto"/>
            </w:pPr>
            <w:r>
              <w:rPr>
                <w:b w:val="0"/>
                <w:color w:val="000000"/>
                <w:sz w:val="20"/>
              </w:rPr>
              <w:br/>
              <w:br/>
            </w:r>
          </w:p>
        </w:tc>
        <w:tc>
          <w:tcPr>
            <w:tcW w:type="dxa" w:w="1224"/>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1F5F9"/>
          </w:tcPr>
          <w:p>
            <w:pPr>
              <w:spacing w:after="0" w:line="269" w:lineRule="auto"/>
            </w:pPr>
            <w:r>
              <w:rPr>
                <w:b w:val="0"/>
                <w:color w:val="000000"/>
                <w:sz w:val="20"/>
              </w:rPr>
            </w:r>
          </w:p>
        </w:tc>
        <w:tc>
          <w:tcPr>
            <w:tcW w:type="dxa" w:w="1224"/>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1F5F9"/>
          </w:tcPr>
          <w:p>
            <w:pPr>
              <w:spacing w:after="0" w:line="269" w:lineRule="auto"/>
            </w:pPr>
            <w:r>
              <w:rPr>
                <w:b w:val="0"/>
                <w:color w:val="000000"/>
                <w:sz w:val="20"/>
              </w:rPr>
            </w:r>
          </w:p>
        </w:tc>
        <w:tc>
          <w:tcPr>
            <w:tcW w:type="dxa" w:w="4493"/>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1F5F9"/>
          </w:tcPr>
          <w:p>
            <w:pPr>
              <w:spacing w:after="0" w:line="269" w:lineRule="auto"/>
            </w:pPr>
            <w:r>
              <w:rPr>
                <w:b w:val="0"/>
                <w:color w:val="000000"/>
                <w:sz w:val="20"/>
              </w:rPr>
            </w:r>
          </w:p>
        </w:tc>
      </w:tr>
      <w:tr>
        <w:tc>
          <w:tcPr>
            <w:tcW w:type="dxa" w:w="2952"/>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69" w:lineRule="auto"/>
            </w:pPr>
            <w:r>
              <w:rPr>
                <w:b w:val="0"/>
                <w:color w:val="000000"/>
                <w:sz w:val="20"/>
              </w:rPr>
              <w:br/>
              <w:br/>
            </w:r>
          </w:p>
        </w:tc>
        <w:tc>
          <w:tcPr>
            <w:tcW w:type="dxa" w:w="1224"/>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69" w:lineRule="auto"/>
            </w:pPr>
            <w:r>
              <w:rPr>
                <w:b w:val="0"/>
                <w:color w:val="000000"/>
                <w:sz w:val="20"/>
              </w:rPr>
            </w:r>
          </w:p>
        </w:tc>
        <w:tc>
          <w:tcPr>
            <w:tcW w:type="dxa" w:w="1224"/>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69" w:lineRule="auto"/>
            </w:pPr>
            <w:r>
              <w:rPr>
                <w:b w:val="0"/>
                <w:color w:val="000000"/>
                <w:sz w:val="20"/>
              </w:rPr>
            </w:r>
          </w:p>
        </w:tc>
        <w:tc>
          <w:tcPr>
            <w:tcW w:type="dxa" w:w="4493"/>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69" w:lineRule="auto"/>
            </w:pPr>
            <w:r>
              <w:rPr>
                <w:b w:val="0"/>
                <w:color w:val="000000"/>
                <w:sz w:val="20"/>
              </w:rPr>
            </w:r>
          </w:p>
        </w:tc>
      </w:tr>
      <w:tr>
        <w:tc>
          <w:tcPr>
            <w:tcW w:type="dxa" w:w="2952"/>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1F5F9"/>
          </w:tcPr>
          <w:p>
            <w:pPr>
              <w:spacing w:after="0" w:line="269" w:lineRule="auto"/>
            </w:pPr>
            <w:r>
              <w:rPr>
                <w:b w:val="0"/>
                <w:color w:val="000000"/>
                <w:sz w:val="20"/>
              </w:rPr>
              <w:br/>
              <w:br/>
            </w:r>
          </w:p>
        </w:tc>
        <w:tc>
          <w:tcPr>
            <w:tcW w:type="dxa" w:w="1224"/>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1F5F9"/>
          </w:tcPr>
          <w:p>
            <w:pPr>
              <w:spacing w:after="0" w:line="269" w:lineRule="auto"/>
            </w:pPr>
            <w:r>
              <w:rPr>
                <w:b w:val="0"/>
                <w:color w:val="000000"/>
                <w:sz w:val="20"/>
              </w:rPr>
            </w:r>
          </w:p>
        </w:tc>
        <w:tc>
          <w:tcPr>
            <w:tcW w:type="dxa" w:w="1224"/>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1F5F9"/>
          </w:tcPr>
          <w:p>
            <w:pPr>
              <w:spacing w:after="0" w:line="269" w:lineRule="auto"/>
            </w:pPr>
            <w:r>
              <w:rPr>
                <w:b w:val="0"/>
                <w:color w:val="000000"/>
                <w:sz w:val="20"/>
              </w:rPr>
            </w:r>
          </w:p>
        </w:tc>
        <w:tc>
          <w:tcPr>
            <w:tcW w:type="dxa" w:w="4493"/>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1F5F9"/>
          </w:tcPr>
          <w:p>
            <w:pPr>
              <w:spacing w:after="0" w:line="269" w:lineRule="auto"/>
            </w:pPr>
            <w:r>
              <w:rPr>
                <w:b w:val="0"/>
                <w:color w:val="000000"/>
                <w:sz w:val="20"/>
              </w:rPr>
            </w:r>
          </w:p>
        </w:tc>
      </w:tr>
      <w:tr>
        <w:tc>
          <w:tcPr>
            <w:tcW w:type="dxa" w:w="2952"/>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69" w:lineRule="auto"/>
            </w:pPr>
            <w:r>
              <w:rPr>
                <w:b w:val="0"/>
                <w:color w:val="000000"/>
                <w:sz w:val="20"/>
              </w:rPr>
              <w:br/>
              <w:br/>
            </w:r>
          </w:p>
        </w:tc>
        <w:tc>
          <w:tcPr>
            <w:tcW w:type="dxa" w:w="1224"/>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69" w:lineRule="auto"/>
            </w:pPr>
            <w:r>
              <w:rPr>
                <w:b w:val="0"/>
                <w:color w:val="000000"/>
                <w:sz w:val="20"/>
              </w:rPr>
            </w:r>
          </w:p>
        </w:tc>
        <w:tc>
          <w:tcPr>
            <w:tcW w:type="dxa" w:w="1224"/>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69" w:lineRule="auto"/>
            </w:pPr>
            <w:r>
              <w:rPr>
                <w:b w:val="0"/>
                <w:color w:val="000000"/>
                <w:sz w:val="20"/>
              </w:rPr>
            </w:r>
          </w:p>
        </w:tc>
        <w:tc>
          <w:tcPr>
            <w:tcW w:type="dxa" w:w="4493"/>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69" w:lineRule="auto"/>
            </w:pPr>
            <w:r>
              <w:rPr>
                <w:b w:val="0"/>
                <w:color w:val="000000"/>
                <w:sz w:val="20"/>
              </w:rPr>
            </w:r>
          </w:p>
        </w:tc>
      </w:tr>
    </w:tbl>
    <w:p>
      <w:pPr>
        <w:spacing w:after="60" w:before="0" w:line="240" w:lineRule="auto"/>
      </w:pPr>
      <w:r>
        <w:rPr>
          <w:sz w:val="2"/>
        </w:rPr>
      </w:r>
    </w:p>
    <w:p>
      <w:pPr>
        <w:pStyle w:val="Heading2"/>
      </w:pPr>
      <w:r>
        <w:t>Previous actions</w:t>
      </w:r>
    </w:p>
    <w:p>
      <w:pPr>
        <w:keepNext/>
        <w:spacing w:after="40"/>
      </w:pPr>
      <w:r>
        <w:rPr>
          <w:b/>
        </w:rPr>
        <w:t>What was completed and what evidence supports it</w:t>
      </w:r>
    </w:p>
    <w:p>
      <w:pPr>
        <w:spacing w:line="324" w:lineRule="auto" w:after="100"/>
      </w:pPr>
      <w:r>
        <w:t>______________________________________________________________________________</w:t>
        <w:br/>
        <w:t>______________________________________________________________________________</w:t>
      </w:r>
    </w:p>
    <w:p>
      <w:pPr>
        <w:spacing w:after="80"/>
      </w:pPr>
      <w:r>
        <w:rPr>
          <w:b/>
        </w:rPr>
        <w:t xml:space="preserve">What remains open and why  </w:t>
      </w:r>
      <w:r>
        <w:t>_____________________________________</w:t>
      </w:r>
    </w:p>
    <w:p>
      <w:pPr>
        <w:spacing w:after="80"/>
      </w:pPr>
      <w:r>
        <w:t>______________________________________________________________________________</w:t>
      </w:r>
    </w:p>
    <w:p>
      <w:r>
        <w:br w:type="page"/>
      </w:r>
    </w:p>
    <w:p>
      <w:pPr>
        <w:pStyle w:val="Heading1"/>
      </w:pPr>
      <w:r>
        <w:t>Decisions and next actions</w:t>
      </w:r>
    </w:p>
    <w:p>
      <w:pPr>
        <w:pStyle w:val="Heading2"/>
      </w:pPr>
      <w:r>
        <w:t>Decision log</w:t>
      </w:r>
    </w:p>
    <w:tbl>
      <w:tblPr>
        <w:tblW w:type="auto" w:w="0"/>
        <w:jc w:val="center"/>
        <w:tblLayout w:type="fixed"/>
        <w:tblLook w:firstColumn="1" w:firstRow="1" w:lastColumn="0" w:lastRow="0" w:noHBand="0" w:noVBand="1" w:val="04A0"/>
      </w:tblPr>
      <w:tblGrid>
        <w:gridCol w:w="3384"/>
        <w:gridCol w:w="3816"/>
        <w:gridCol w:w="2693"/>
      </w:tblGrid>
      <w:tr>
        <w:trPr>
          <w:tblHeader/>
        </w:trPr>
        <w:tc>
          <w:tcPr>
            <w:tcW w:type="dxa" w:w="3384"/>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0A2547"/>
          </w:tcPr>
          <w:p>
            <w:pPr>
              <w:spacing w:after="0" w:line="269" w:lineRule="auto"/>
            </w:pPr>
            <w:r>
              <w:rPr>
                <w:b/>
                <w:color w:val="FFFFFF"/>
                <w:sz w:val="20"/>
              </w:rPr>
              <w:t>Decision or open question</w:t>
            </w:r>
          </w:p>
        </w:tc>
        <w:tc>
          <w:tcPr>
            <w:tcW w:type="dxa" w:w="3816"/>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0A2547"/>
          </w:tcPr>
          <w:p>
            <w:pPr>
              <w:spacing w:after="0" w:line="269" w:lineRule="auto"/>
            </w:pPr>
            <w:r>
              <w:rPr>
                <w:b/>
                <w:color w:val="FFFFFF"/>
                <w:sz w:val="20"/>
              </w:rPr>
              <w:t>Reason and evidence</w:t>
            </w:r>
          </w:p>
        </w:tc>
        <w:tc>
          <w:tcPr>
            <w:tcW w:type="dxa" w:w="2693"/>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0A2547"/>
          </w:tcPr>
          <w:p>
            <w:pPr>
              <w:spacing w:after="0" w:line="269" w:lineRule="auto"/>
            </w:pPr>
            <w:r>
              <w:rPr>
                <w:b/>
                <w:color w:val="FFFFFF"/>
                <w:sz w:val="20"/>
              </w:rPr>
              <w:t>Person and review date</w:t>
            </w:r>
          </w:p>
        </w:tc>
      </w:tr>
      <w:tr>
        <w:tc>
          <w:tcPr>
            <w:tcW w:type="dxa" w:w="3384"/>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69" w:lineRule="auto"/>
            </w:pPr>
            <w:r>
              <w:rPr>
                <w:b w:val="0"/>
                <w:color w:val="000000"/>
                <w:sz w:val="20"/>
              </w:rPr>
              <w:br/>
              <w:br/>
            </w:r>
          </w:p>
        </w:tc>
        <w:tc>
          <w:tcPr>
            <w:tcW w:type="dxa" w:w="3816"/>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69" w:lineRule="auto"/>
            </w:pPr>
            <w:r>
              <w:rPr>
                <w:b w:val="0"/>
                <w:color w:val="000000"/>
                <w:sz w:val="20"/>
              </w:rPr>
            </w:r>
          </w:p>
        </w:tc>
        <w:tc>
          <w:tcPr>
            <w:tcW w:type="dxa" w:w="2693"/>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69" w:lineRule="auto"/>
            </w:pPr>
            <w:r>
              <w:rPr>
                <w:b w:val="0"/>
                <w:color w:val="000000"/>
                <w:sz w:val="20"/>
              </w:rPr>
            </w:r>
          </w:p>
        </w:tc>
      </w:tr>
      <w:tr>
        <w:tc>
          <w:tcPr>
            <w:tcW w:type="dxa" w:w="3384"/>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1F5F9"/>
          </w:tcPr>
          <w:p>
            <w:pPr>
              <w:spacing w:after="0" w:line="269" w:lineRule="auto"/>
            </w:pPr>
            <w:r>
              <w:rPr>
                <w:b w:val="0"/>
                <w:color w:val="000000"/>
                <w:sz w:val="20"/>
              </w:rPr>
              <w:br/>
              <w:br/>
            </w:r>
          </w:p>
        </w:tc>
        <w:tc>
          <w:tcPr>
            <w:tcW w:type="dxa" w:w="3816"/>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1F5F9"/>
          </w:tcPr>
          <w:p>
            <w:pPr>
              <w:spacing w:after="0" w:line="269" w:lineRule="auto"/>
            </w:pPr>
            <w:r>
              <w:rPr>
                <w:b w:val="0"/>
                <w:color w:val="000000"/>
                <w:sz w:val="20"/>
              </w:rPr>
            </w:r>
          </w:p>
        </w:tc>
        <w:tc>
          <w:tcPr>
            <w:tcW w:type="dxa" w:w="2693"/>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1F5F9"/>
          </w:tcPr>
          <w:p>
            <w:pPr>
              <w:spacing w:after="0" w:line="269" w:lineRule="auto"/>
            </w:pPr>
            <w:r>
              <w:rPr>
                <w:b w:val="0"/>
                <w:color w:val="000000"/>
                <w:sz w:val="20"/>
              </w:rPr>
            </w:r>
          </w:p>
        </w:tc>
      </w:tr>
      <w:tr>
        <w:tc>
          <w:tcPr>
            <w:tcW w:type="dxa" w:w="3384"/>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69" w:lineRule="auto"/>
            </w:pPr>
            <w:r>
              <w:rPr>
                <w:b w:val="0"/>
                <w:color w:val="000000"/>
                <w:sz w:val="20"/>
              </w:rPr>
              <w:br/>
              <w:br/>
            </w:r>
          </w:p>
        </w:tc>
        <w:tc>
          <w:tcPr>
            <w:tcW w:type="dxa" w:w="3816"/>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69" w:lineRule="auto"/>
            </w:pPr>
            <w:r>
              <w:rPr>
                <w:b w:val="0"/>
                <w:color w:val="000000"/>
                <w:sz w:val="20"/>
              </w:rPr>
            </w:r>
          </w:p>
        </w:tc>
        <w:tc>
          <w:tcPr>
            <w:tcW w:type="dxa" w:w="2693"/>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69" w:lineRule="auto"/>
            </w:pPr>
            <w:r>
              <w:rPr>
                <w:b w:val="0"/>
                <w:color w:val="000000"/>
                <w:sz w:val="20"/>
              </w:rPr>
            </w:r>
          </w:p>
        </w:tc>
      </w:tr>
    </w:tbl>
    <w:p>
      <w:pPr>
        <w:spacing w:after="60" w:before="0" w:line="240" w:lineRule="auto"/>
      </w:pPr>
      <w:r>
        <w:rPr>
          <w:sz w:val="2"/>
        </w:rPr>
      </w:r>
    </w:p>
    <w:p>
      <w:pPr>
        <w:pStyle w:val="Heading2"/>
      </w:pPr>
      <w:r>
        <w:t>Actions before the next review</w:t>
      </w:r>
    </w:p>
    <w:p>
      <w:pPr>
        <w:spacing w:after="80"/>
      </w:pPr>
      <w:r>
        <w:rPr>
          <w:b/>
        </w:rPr>
        <w:t xml:space="preserve">Action 1  </w:t>
      </w:r>
      <w:r>
        <w:t>______________________________________________________</w:t>
      </w:r>
    </w:p>
    <w:p>
      <w:pPr>
        <w:spacing w:after="80"/>
      </w:pPr>
      <w:r>
        <w:rPr>
          <w:b/>
        </w:rPr>
        <w:t xml:space="preserve">Responsible person and due date  </w:t>
      </w:r>
      <w:r>
        <w:t>_______________________________</w:t>
      </w:r>
    </w:p>
    <w:p>
      <w:pPr>
        <w:keepNext/>
        <w:spacing w:after="40"/>
      </w:pPr>
      <w:r>
        <w:rPr>
          <w:b/>
        </w:rPr>
        <w:t>Evidence to bring and next review date</w:t>
      </w:r>
    </w:p>
    <w:p>
      <w:pPr>
        <w:spacing w:line="324" w:lineRule="auto" w:after="100"/>
      </w:pPr>
      <w:r>
        <w:t>______________________________________________________________________________</w:t>
      </w:r>
    </w:p>
    <w:p>
      <w:pPr>
        <w:spacing w:after="80"/>
      </w:pPr>
      <w:r>
        <w:rPr>
          <w:b/>
        </w:rPr>
        <w:t xml:space="preserve">Action 2  </w:t>
      </w:r>
      <w:r>
        <w:t>______________________________________________________</w:t>
      </w:r>
    </w:p>
    <w:p>
      <w:pPr>
        <w:spacing w:after="80"/>
      </w:pPr>
      <w:r>
        <w:rPr>
          <w:b/>
        </w:rPr>
        <w:t xml:space="preserve">Responsible person and due date  </w:t>
      </w:r>
      <w:r>
        <w:t>_______________________________</w:t>
      </w:r>
    </w:p>
    <w:p>
      <w:pPr>
        <w:keepNext/>
        <w:spacing w:after="40"/>
      </w:pPr>
      <w:r>
        <w:rPr>
          <w:b/>
        </w:rPr>
        <w:t>Evidence to bring and next review date</w:t>
      </w:r>
    </w:p>
    <w:p>
      <w:pPr>
        <w:spacing w:line="324" w:lineRule="auto" w:after="100"/>
      </w:pPr>
      <w:r>
        <w:t>______________________________________________________________________________</w:t>
      </w:r>
    </w:p>
    <w:p>
      <w:pPr>
        <w:spacing w:after="80"/>
      </w:pPr>
      <w:r>
        <w:rPr>
          <w:b/>
        </w:rPr>
        <w:t xml:space="preserve">Action 3  </w:t>
      </w:r>
      <w:r>
        <w:t>______________________________________________________</w:t>
      </w:r>
    </w:p>
    <w:p>
      <w:pPr>
        <w:spacing w:after="80"/>
      </w:pPr>
      <w:r>
        <w:rPr>
          <w:b/>
        </w:rPr>
        <w:t xml:space="preserve">Responsible person and due date  </w:t>
      </w:r>
      <w:r>
        <w:t>_______________________________</w:t>
      </w:r>
    </w:p>
    <w:p>
      <w:pPr>
        <w:keepNext/>
        <w:spacing w:after="40"/>
      </w:pPr>
      <w:r>
        <w:rPr>
          <w:b/>
        </w:rPr>
        <w:t>Evidence to bring and next review date</w:t>
      </w:r>
    </w:p>
    <w:p>
      <w:pPr>
        <w:spacing w:line="324" w:lineRule="auto" w:after="100"/>
      </w:pPr>
      <w:r>
        <w:t>______________________________________________________________________________</w:t>
      </w:r>
    </w:p>
    <w:p>
      <w:pPr>
        <w:pStyle w:val="Heading2"/>
      </w:pPr>
      <w:r>
        <w:t>Use the record</w:t>
      </w:r>
    </w:p>
    <w:p>
      <w:r>
        <w:t>Carry unfinished actions into the next meeting. Use the cash forecast when payment timing is the main question.</w:t>
      </w:r>
    </w:p>
    <w:p>
      <w:pPr>
        <w:spacing w:after="120"/>
      </w:pPr>
      <w:r>
        <w:rPr>
          <w:color w:val="1667C8"/>
          <w:sz w:val="20"/>
        </w:rPr>
        <w:t>Build a cash forecast</w:t>
        <w:br/>
      </w:r>
      <w:hyperlink r:id="rId10">
        <w:r>
          <w:rPr>
            <w:color w:val="1667C8"/>
            <w:sz w:val="20"/>
          </w:rPr>
          <w:t>https://smbri.org/tools/cash-flow-forecast</w:t>
        </w:r>
      </w:hyperlink>
    </w:p>
    <w:p>
      <w:pPr>
        <w:spacing w:after="120"/>
      </w:pPr>
      <w:r>
        <w:rPr>
          <w:color w:val="1667C8"/>
          <w:sz w:val="20"/>
        </w:rPr>
        <w:t>Monthly review online</w:t>
        <w:br/>
      </w:r>
      <w:hyperlink r:id="rId11">
        <w:r>
          <w:rPr>
            <w:color w:val="1667C8"/>
            <w:sz w:val="20"/>
          </w:rPr>
          <w:t>https://smbri.org/tools/monthly-business-review</w:t>
        </w:r>
      </w:hyperlink>
    </w:p>
    <w:p>
      <w:r>
        <w:rPr>
          <w:sz w:val="18"/>
        </w:rPr>
        <w:t>Use this educational workbook for planning and professional conversations. It does not establish legal rights, validate a business, confer a credential or replace qualified advice.</w:t>
      </w:r>
    </w:p>
    <w:sectPr w:rsidR="00FC693F" w:rsidRPr="0006063C" w:rsidSect="00034616">
      <w:footerReference w:type="default" r:id="rId9"/>
      <w:pgSz w:w="11909" w:h="16834"/>
      <w:pgMar w:top="965" w:right="1008" w:bottom="965"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4D606D"/>
        <w:sz w:val="16"/>
      </w:rPr>
      <w:t xml:space="preserve">SMBRI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6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80"/>
      <w:outlineLvl w:val="0"/>
    </w:pPr>
    <w:rPr>
      <w:rFonts w:cstheme="majorBidi" w:ascii="Georgia" w:hAnsi="Georgia" w:eastAsia="Georgia" w:cs="Georgia"/>
      <w:b/>
      <w:bCs/>
      <w:color w:val="000000"/>
      <w:sz w:val="42"/>
      <w:szCs w:val="28"/>
    </w:rPr>
  </w:style>
  <w:style w:type="paragraph" w:styleId="Heading2">
    <w:name w:val="heading 2"/>
    <w:basedOn w:val="Normal"/>
    <w:next w:val="Normal"/>
    <w:link w:val="Heading2Char"/>
    <w:uiPriority w:val="9"/>
    <w:unhideWhenUsed/>
    <w:qFormat/>
    <w:rsid w:val="00FC693F"/>
    <w:pPr>
      <w:keepNext/>
      <w:keepLines/>
      <w:spacing w:before="240" w:after="180"/>
      <w:outlineLvl w:val="1"/>
    </w:pPr>
    <w:rPr>
      <w:rFonts w:cstheme="majorBidi" w:ascii="Georgia" w:hAnsi="Georgia" w:eastAsia="Georgia" w:cs="Georgia"/>
      <w:b/>
      <w:bCs/>
      <w:color w:val="000000"/>
      <w:sz w:val="30"/>
      <w:szCs w:val="26"/>
    </w:rPr>
  </w:style>
  <w:style w:type="paragraph" w:styleId="Heading3">
    <w:name w:val="heading 3"/>
    <w:basedOn w:val="Normal"/>
    <w:next w:val="Normal"/>
    <w:link w:val="Heading3Char"/>
    <w:uiPriority w:val="9"/>
    <w:unhideWhenUsed/>
    <w:qFormat/>
    <w:rsid w:val="00FC693F"/>
    <w:pPr>
      <w:keepNext/>
      <w:keepLines/>
      <w:spacing w:before="240" w:after="180"/>
      <w:outlineLvl w:val="2"/>
    </w:pPr>
    <w:rPr>
      <w:rFonts w:cstheme="majorBidi" w:ascii="Georgia" w:hAnsi="Georgia" w:eastAsia="Georgia" w:cs="Georgia"/>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40" w:lineRule="auto" w:before="0"/>
      <w:contextualSpacing/>
    </w:pPr>
    <w:rPr>
      <w:rFonts w:cstheme="majorBidi" w:ascii="Georgia" w:hAnsi="Georgia" w:eastAsia="Georgia" w:cs="Georgia"/>
      <w:b/>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mbri.org/tools/cash-flow-forecast" TargetMode="External"/><Relationship Id="rId11" Type="http://schemas.openxmlformats.org/officeDocument/2006/relationships/hyperlink" Target="https://smbri.org/tools/monthly-business-re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business review</dc:title>
  <dc:subject>Use a recurring meeting to explain results, record decisions and assign a few actions before the next review.</dc:subject>
  <dc:creator>Small Business Research Institute</dc:creator>
  <cp:keywords>SMBRI, free planning resource</cp:keywords>
  <dc:description/>
  <cp:lastModifiedBy>Small Business Research Institute</cp:lastModifiedBy>
  <cp:revision>1</cp:revision>
  <dcterms:created xsi:type="dcterms:W3CDTF">2026-11-06T00:00:00Z</dcterms:created>
  <dcterms:modified xsi:type="dcterms:W3CDTF">2026-11-06T00:00:00Z</dcterms:modified>
  <cp:category/>
</cp:coreProperties>
</file>