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0A2547"/>
          <w:sz w:val="22"/>
        </w:rPr>
        <w:t>Small Business Research Institute</w:t>
      </w:r>
    </w:p>
    <w:p>
      <w:pPr>
        <w:pStyle w:val="Title"/>
      </w:pPr>
      <w:r>
        <w:t>Succession options comparison</w:t>
      </w:r>
    </w:p>
    <w:p>
      <w:r>
        <w:t>Clarify owner priorities and compare the questions different ownership paths would require you to answer.</w:t>
      </w:r>
    </w:p>
    <w:p>
      <w:r>
        <w:rPr>
          <w:color w:val="4D606D"/>
          <w:sz w:val="18"/>
        </w:rPr>
        <w:t>Version 1.0 | 6 November 2026</w:t>
      </w:r>
    </w:p>
    <w:p>
      <w:pPr>
        <w:pStyle w:val="Heading2"/>
      </w:pPr>
      <w:r>
        <w:t>Start with objectives and constraints</w:t>
      </w:r>
    </w:p>
    <w:p>
      <w:r>
        <w:t>Record the owner's priorities, timing, desired involvement and continuity needs. Examine each plausible path against the same questions. A path can remain uncertain while you gather evidence. This workbook does not rank options or recommend a transaction.</w:t>
      </w:r>
    </w:p>
    <w:p>
      <w:pPr>
        <w:pStyle w:val="Heading2"/>
      </w:pPr>
      <w:r>
        <w:t>Fictional completed example</w:t>
      </w:r>
    </w:p>
    <w:p>
      <w:pPr>
        <w:spacing w:after="180"/>
      </w:pPr>
      <w:r>
        <w:rPr>
          <w:b/>
        </w:rPr>
        <w:t xml:space="preserve">Priorities. </w:t>
      </w:r>
      <w:r>
        <w:t>Fictional example: an owner wants fewer operating hours and continuity for staff. Desired timing, income needs and willingness to retain ownership still need discussion.</w:t>
      </w:r>
    </w:p>
    <w:p>
      <w:pPr>
        <w:spacing w:after="180"/>
      </w:pPr>
      <w:r>
        <w:rPr>
          <w:b/>
        </w:rPr>
        <w:t xml:space="preserve">Facts and evidence. </w:t>
      </w:r>
      <w:r>
        <w:t>No successor capacity, financing availability or transaction value has been verified. A proposed manager has not agreed to a transition role.</w:t>
      </w:r>
    </w:p>
    <w:p>
      <w:pPr>
        <w:spacing w:after="180"/>
      </w:pPr>
      <w:r>
        <w:rPr>
          <w:b/>
        </w:rPr>
        <w:t xml:space="preserve">Paths to compare. </w:t>
      </w:r>
      <w:r>
        <w:t>Compare continued ownership with stronger management, a management transition and an external sale. Family and employee ownership remain open questions; closure is not currently being pursued, but contingency questions remain.</w:t>
      </w:r>
    </w:p>
    <w:p>
      <w:pPr>
        <w:spacing w:after="180"/>
      </w:pPr>
      <w:r>
        <w:rPr>
          <w:b/>
        </w:rPr>
        <w:t xml:space="preserve">Professional questions. </w:t>
      </w:r>
      <w:r>
        <w:t>Clarify authority, financial needs and viable options with appropriately qualified advisors before drawing conclusions.</w:t>
      </w:r>
    </w:p>
    <w:p>
      <w:pPr>
        <w:spacing w:after="180"/>
      </w:pPr>
      <w:r>
        <w:rPr>
          <w:b/>
        </w:rPr>
        <w:t xml:space="preserve">Next investigations and review. </w:t>
      </w:r>
      <w:r>
        <w:t>Owner will record personal priorities and ask the proposed manager about interest and capacity. Review those findings at the next planning meeting; no transfer is agreed.</w:t>
      </w:r>
    </w:p>
    <w:p>
      <w:r>
        <w:br w:type="page"/>
      </w:r>
    </w:p>
    <w:p>
      <w:pPr>
        <w:pStyle w:val="Heading1"/>
      </w:pPr>
      <w:r>
        <w:t>Your priorities and constraints</w:t>
      </w:r>
    </w:p>
    <w:p>
      <w:pPr>
        <w:spacing w:after="80"/>
      </w:pPr>
      <w:r>
        <w:rPr>
          <w:b/>
        </w:rPr>
        <w:t xml:space="preserve">Business alias and planning date  </w:t>
      </w:r>
      <w:r>
        <w:t>______________________________</w:t>
      </w:r>
    </w:p>
    <w:p>
      <w:pPr>
        <w:keepNext/>
        <w:spacing w:after="40"/>
      </w:pPr>
      <w:r>
        <w:rPr>
          <w:b/>
        </w:rPr>
        <w:t>Owner priorities and desired future role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Timing preferences and what could change them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Employees customers family and other continuity needs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Financial questions for qualified advisors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Constraints or commitments that need checking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pStyle w:val="Heading2"/>
      </w:pPr>
      <w:r>
        <w:t>Evidence needed before comparing paths</w:t>
      </w:r>
    </w:p>
    <w:p>
      <w:pPr>
        <w:keepNext/>
        <w:spacing w:after="40"/>
      </w:pPr>
      <w:r>
        <w:rPr>
          <w:b/>
        </w:rPr>
        <w:t>Records conversations and specialist questions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  <w:br/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Compare the ownership paths</w:t>
      </w:r>
    </w:p>
    <w:p>
      <w:r>
        <w:t>Keep facts and unknowns separate. Consider only paths that fit the business and applicable requirements; record why a path needs further investigation or does not currently fit.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3240"/>
        <w:gridCol w:w="4493"/>
      </w:tblGrid>
      <w:tr>
        <w:trPr>
          <w:tblHeader/>
        </w:trP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Path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Relevant facts</w:t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Open question or evidence needed</w:t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External sale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Family succession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Management transfer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Employee ownership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Continued ownership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Orderly closure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449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 w:before="0" w:line="240" w:lineRule="auto"/>
      </w:pPr>
      <w:r>
        <w:rPr>
          <w:sz w:val="2"/>
        </w:rPr>
      </w:r>
    </w:p>
    <w:p>
      <w:pPr>
        <w:pStyle w:val="Heading2"/>
      </w:pPr>
      <w:r>
        <w:t>Next conversations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3168"/>
        <w:gridCol w:w="2045"/>
      </w:tblGrid>
      <w:tr>
        <w:trPr>
          <w:tblHeader/>
        </w:trPr>
        <w:tc>
          <w:tcPr>
            <w:tcW w:type="dxa" w:w="46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Question or action</w:t>
            </w:r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Person or professional</w:t>
            </w:r>
          </w:p>
        </w:tc>
        <w:tc>
          <w:tcPr>
            <w:tcW w:type="dxa" w:w="20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Review date</w:t>
            </w:r>
          </w:p>
        </w:tc>
      </w:tr>
      <w:tr>
        <w:tc>
          <w:tcPr>
            <w:tcW w:type="dxa" w:w="46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6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6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 w:before="0" w:line="240" w:lineRule="auto"/>
      </w:pPr>
      <w:r>
        <w:rPr>
          <w:sz w:val="2"/>
        </w:rPr>
      </w:r>
    </w:p>
    <w:p>
      <w:pPr>
        <w:pStyle w:val="Heading2"/>
      </w:pPr>
      <w:r>
        <w:t>Use the record</w:t>
      </w:r>
    </w:p>
    <w:p>
      <w:r>
        <w:t>Use the readiness interview to identify further planning questions. Professional advice may be needed on structure, valuation, tax, legal obligations, financing and employee ownership arrangements.</w:t>
      </w:r>
    </w:p>
    <w:p>
      <w:pPr>
        <w:spacing w:after="120"/>
      </w:pPr>
      <w:r>
        <w:rPr>
          <w:color w:val="1667C8"/>
          <w:sz w:val="20"/>
        </w:rPr>
        <w:t>Transition readiness interview</w:t>
        <w:br/>
      </w:r>
      <w:hyperlink r:id="rId10">
        <w:r>
          <w:rPr>
            <w:color w:val="1667C8"/>
            <w:sz w:val="20"/>
          </w:rPr>
          <w:t>https://smbri.org/tools/exit-readiness</w:t>
        </w:r>
      </w:hyperlink>
    </w:p>
    <w:p>
      <w:pPr>
        <w:spacing w:after="120"/>
      </w:pPr>
      <w:r>
        <w:rPr>
          <w:color w:val="1667C8"/>
          <w:sz w:val="20"/>
        </w:rPr>
        <w:t>Successor pathways</w:t>
        <w:br/>
      </w:r>
      <w:hyperlink r:id="rId11">
        <w:r>
          <w:rPr>
            <w:color w:val="1667C8"/>
            <w:sz w:val="20"/>
          </w:rPr>
          <w:t>https://smbri.org/tools/successor-pathways</w:t>
        </w:r>
      </w:hyperlink>
    </w:p>
    <w:p>
      <w:r>
        <w:rPr>
          <w:sz w:val="18"/>
        </w:rPr>
        <w:t>Use this educational workbook for planning and professional conversations. It does not establish legal rights, validate a business, confer a credential or replace qualified advice.</w:t>
      </w:r>
    </w:p>
    <w:sectPr w:rsidR="00FC693F" w:rsidRPr="0006063C" w:rsidSect="00034616">
      <w:footerReference w:type="default" r:id="rId9"/>
      <w:pgSz w:w="11909" w:h="16834"/>
      <w:pgMar w:top="965" w:right="1008" w:bottom="96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D606D"/>
        <w:sz w:val="16"/>
      </w:rPr>
      <w:t xml:space="preserve">SMBRI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/>
      <w:outlineLvl w:val="0"/>
    </w:pPr>
    <w:rPr>
      <w:rFonts w:cstheme="majorBidi" w:ascii="Georgia" w:hAnsi="Georgia" w:eastAsia="Georgia" w:cs="Georgia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80"/>
      <w:outlineLvl w:val="1"/>
    </w:pPr>
    <w:rPr>
      <w:rFonts w:cstheme="majorBidi" w:ascii="Georgia" w:hAnsi="Georgia" w:eastAsia="Georgia" w:cs="Georgia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80"/>
      <w:outlineLvl w:val="2"/>
    </w:pPr>
    <w:rPr>
      <w:rFonts w:cstheme="majorBidi" w:ascii="Georgia" w:hAnsi="Georgia" w:eastAsia="Georgia" w:cs="Georgia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40" w:lineRule="auto" w:before="0"/>
      <w:contextualSpacing/>
    </w:pPr>
    <w:rPr>
      <w:rFonts w:cstheme="majorBidi" w:ascii="Georgia" w:hAnsi="Georgia" w:eastAsia="Georgia" w:cs="Georgia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mbri.org/tools/exit-readiness" TargetMode="External"/><Relationship Id="rId11" Type="http://schemas.openxmlformats.org/officeDocument/2006/relationships/hyperlink" Target="https://smbri.org/tools/successor-pathw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options comparison</dc:title>
  <dc:subject>Clarify owner priorities and compare the questions different ownership paths would require you to answer.</dc:subject>
  <dc:creator>Small Business Research Institute</dc:creator>
  <cp:keywords>SMBRI, free planning resource</cp:keywords>
  <dc:description/>
  <cp:lastModifiedBy>Small Business Research Institute</cp:lastModifiedBy>
  <cp:revision>1</cp:revision>
  <dcterms:created xsi:type="dcterms:W3CDTF">2026-11-06T00:00:00Z</dcterms:created>
  <dcterms:modified xsi:type="dcterms:W3CDTF">2026-11-06T00:00:00Z</dcterms:modified>
  <cp:category/>
</cp:coreProperties>
</file>